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5E90061"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7B16C9">
        <w:rPr>
          <w:bCs/>
          <w:noProof w:val="0"/>
          <w:sz w:val="24"/>
          <w:szCs w:val="24"/>
        </w:rPr>
        <w:t>1</w:t>
      </w:r>
      <w:r w:rsidR="001D2DA1">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474B5">
        <w:rPr>
          <w:bCs/>
          <w:noProof w:val="0"/>
          <w:sz w:val="24"/>
          <w:szCs w:val="24"/>
        </w:rPr>
        <w:t>2007488</w:t>
      </w:r>
    </w:p>
    <w:p w14:paraId="11776FA6" w14:textId="2A3FDE05" w:rsidR="00A209D6" w:rsidRPr="00465587" w:rsidRDefault="009928A9" w:rsidP="00A209D6">
      <w:pPr>
        <w:pStyle w:val="Header"/>
        <w:tabs>
          <w:tab w:val="right" w:pos="9639"/>
        </w:tabs>
        <w:rPr>
          <w:bCs/>
          <w:sz w:val="24"/>
          <w:szCs w:val="24"/>
          <w:lang w:eastAsia="zh-CN"/>
        </w:rPr>
      </w:pPr>
      <w:r>
        <w:rPr>
          <w:bCs/>
          <w:sz w:val="24"/>
          <w:szCs w:val="24"/>
          <w:lang w:eastAsia="zh-CN"/>
        </w:rPr>
        <w:t>E</w:t>
      </w:r>
      <w:r w:rsidR="007B16C9">
        <w:rPr>
          <w:bCs/>
          <w:sz w:val="24"/>
          <w:szCs w:val="24"/>
          <w:lang w:eastAsia="zh-CN"/>
        </w:rPr>
        <w:t>-meeting</w:t>
      </w:r>
      <w:r w:rsidR="006574C0" w:rsidRPr="006574C0">
        <w:rPr>
          <w:bCs/>
          <w:sz w:val="24"/>
          <w:szCs w:val="24"/>
          <w:lang w:eastAsia="zh-CN"/>
        </w:rPr>
        <w:t xml:space="preserve">, </w:t>
      </w:r>
      <w:r w:rsidR="0036459E">
        <w:rPr>
          <w:bCs/>
          <w:sz w:val="24"/>
          <w:szCs w:val="24"/>
          <w:lang w:eastAsia="zh-CN"/>
        </w:rPr>
        <w:t>1</w:t>
      </w:r>
      <w:r w:rsidR="007B16C9">
        <w:rPr>
          <w:bCs/>
          <w:sz w:val="24"/>
          <w:szCs w:val="24"/>
          <w:lang w:eastAsia="zh-CN"/>
        </w:rPr>
        <w:t>7</w:t>
      </w:r>
      <w:r w:rsidR="006574C0" w:rsidRPr="006574C0">
        <w:rPr>
          <w:bCs/>
          <w:sz w:val="24"/>
          <w:szCs w:val="24"/>
          <w:lang w:eastAsia="zh-CN"/>
        </w:rPr>
        <w:t xml:space="preserve"> – </w:t>
      </w:r>
      <w:r w:rsidR="008054E1">
        <w:rPr>
          <w:bCs/>
          <w:sz w:val="24"/>
          <w:szCs w:val="24"/>
          <w:lang w:eastAsia="zh-CN"/>
        </w:rPr>
        <w:t>2</w:t>
      </w:r>
      <w:r w:rsidR="007B16C9">
        <w:rPr>
          <w:bCs/>
          <w:sz w:val="24"/>
          <w:szCs w:val="24"/>
          <w:lang w:eastAsia="zh-CN"/>
        </w:rPr>
        <w:t>8</w:t>
      </w:r>
      <w:r w:rsidR="006574C0" w:rsidRPr="006574C0">
        <w:rPr>
          <w:bCs/>
          <w:sz w:val="24"/>
          <w:szCs w:val="24"/>
          <w:lang w:eastAsia="zh-CN"/>
        </w:rPr>
        <w:t xml:space="preserve"> </w:t>
      </w:r>
      <w:r w:rsidR="007B16C9">
        <w:rPr>
          <w:bCs/>
          <w:sz w:val="24"/>
          <w:szCs w:val="24"/>
          <w:lang w:eastAsia="zh-CN"/>
        </w:rPr>
        <w:t>August</w:t>
      </w:r>
      <w:r w:rsidR="006574C0" w:rsidRPr="006574C0">
        <w:rPr>
          <w:bCs/>
          <w:sz w:val="24"/>
          <w:szCs w:val="24"/>
          <w:lang w:eastAsia="zh-CN"/>
        </w:rPr>
        <w:t xml:space="preserve"> 20</w:t>
      </w:r>
      <w:r w:rsidR="009376CD">
        <w:rPr>
          <w:bCs/>
          <w:sz w:val="24"/>
          <w:szCs w:val="24"/>
          <w:lang w:eastAsia="zh-CN"/>
        </w:rPr>
        <w:t>20</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C63D66C" w:rsidR="00A209D6" w:rsidRPr="00B266B0" w:rsidRDefault="00A209D6" w:rsidP="4A85937C">
      <w:pPr>
        <w:pStyle w:val="CRCoverPage"/>
        <w:tabs>
          <w:tab w:val="left" w:pos="1985"/>
        </w:tabs>
        <w:rPr>
          <w:rFonts w:cs="Arial"/>
          <w:b/>
          <w:bCs/>
          <w:sz w:val="24"/>
          <w:szCs w:val="24"/>
          <w:lang w:eastAsia="ja-JP"/>
        </w:rPr>
      </w:pPr>
      <w:r w:rsidRPr="4A85937C">
        <w:rPr>
          <w:rFonts w:cs="Arial"/>
          <w:b/>
          <w:bCs/>
          <w:sz w:val="24"/>
          <w:szCs w:val="24"/>
        </w:rPr>
        <w:t>Agenda item:</w:t>
      </w:r>
      <w:r>
        <w:rPr>
          <w:rFonts w:cs="Arial"/>
          <w:b/>
          <w:bCs/>
          <w:sz w:val="24"/>
        </w:rPr>
        <w:tab/>
      </w:r>
      <w:r w:rsidR="0044392D">
        <w:rPr>
          <w:rFonts w:cs="Arial"/>
          <w:b/>
          <w:bCs/>
          <w:sz w:val="24"/>
        </w:rPr>
        <w:t>8.4.2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D25C7D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4392D">
        <w:rPr>
          <w:rFonts w:ascii="Arial" w:hAnsi="Arial" w:cs="Arial"/>
          <w:b/>
          <w:bCs/>
          <w:sz w:val="24"/>
        </w:rPr>
        <w:t>I</w:t>
      </w:r>
      <w:bookmarkStart w:id="0" w:name="_GoBack"/>
      <w:bookmarkEnd w:id="0"/>
      <w:r w:rsidR="0044392D">
        <w:rPr>
          <w:rFonts w:ascii="Arial" w:hAnsi="Arial" w:cs="Arial"/>
          <w:b/>
          <w:bCs/>
          <w:sz w:val="24"/>
        </w:rPr>
        <w:t>nter-donor topology adaptation</w:t>
      </w:r>
    </w:p>
    <w:p w14:paraId="1F147C23" w14:textId="1927E318"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7B16C9" w:rsidRPr="007B16C9">
        <w:rPr>
          <w:rFonts w:ascii="Arial" w:hAnsi="Arial" w:cs="Arial"/>
          <w:b/>
          <w:bCs/>
          <w:sz w:val="24"/>
        </w:rPr>
        <w:t>Enh_IAB</w:t>
      </w:r>
      <w:proofErr w:type="spellEnd"/>
      <w:r w:rsidR="007B16C9" w:rsidRPr="007B16C9">
        <w:rPr>
          <w:rFonts w:ascii="Arial" w:hAnsi="Arial" w:cs="Arial"/>
          <w:b/>
          <w:bCs/>
          <w:sz w:val="24"/>
        </w:rPr>
        <w:t xml:space="preserve"> </w:t>
      </w:r>
      <w:r>
        <w:rPr>
          <w:rFonts w:ascii="Arial" w:hAnsi="Arial" w:cs="Arial"/>
          <w:b/>
          <w:bCs/>
          <w:sz w:val="24"/>
        </w:rPr>
        <w:t xml:space="preserve">- Release </w:t>
      </w:r>
      <w:r w:rsidR="007B16C9">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76E8D20E" w:rsidR="00A209D6" w:rsidRDefault="003626A9" w:rsidP="00A209D6">
      <w:r>
        <w:t>The Rel.17 WID for IAB enhancements has following objectives:</w:t>
      </w:r>
    </w:p>
    <w:p w14:paraId="423A1E96" w14:textId="77777777" w:rsidR="003626A9" w:rsidRPr="003626A9" w:rsidRDefault="003626A9" w:rsidP="003626A9">
      <w:pPr>
        <w:spacing w:after="120"/>
        <w:ind w:left="284"/>
        <w:rPr>
          <w:bCs/>
          <w:i/>
          <w:iCs/>
          <w:lang w:eastAsia="en-GB"/>
        </w:rPr>
      </w:pPr>
      <w:r w:rsidRPr="003626A9">
        <w:rPr>
          <w:bCs/>
          <w:i/>
          <w:iCs/>
        </w:rPr>
        <w:t>Topology adaptation enhancements [RAN3-led, RAN2]:</w:t>
      </w:r>
    </w:p>
    <w:p w14:paraId="4AB44558" w14:textId="77777777" w:rsidR="003626A9" w:rsidRPr="003626A9" w:rsidRDefault="003626A9" w:rsidP="003626A9">
      <w:pPr>
        <w:numPr>
          <w:ilvl w:val="0"/>
          <w:numId w:val="8"/>
        </w:numPr>
        <w:autoSpaceDN w:val="0"/>
        <w:spacing w:after="60"/>
        <w:ind w:left="1004"/>
        <w:rPr>
          <w:i/>
          <w:iCs/>
        </w:rPr>
      </w:pPr>
      <w:r w:rsidRPr="003626A9">
        <w:rPr>
          <w:i/>
          <w:iCs/>
        </w:rPr>
        <w:t xml:space="preserve">Specification of procedures for inter-donor IAB-node migration to enhance robustness and load-balancing, including enhancements to reduce signalling load.   </w:t>
      </w:r>
    </w:p>
    <w:p w14:paraId="00D52D8B" w14:textId="77777777" w:rsidR="003626A9" w:rsidRPr="003626A9" w:rsidRDefault="003626A9" w:rsidP="003626A9">
      <w:pPr>
        <w:numPr>
          <w:ilvl w:val="0"/>
          <w:numId w:val="8"/>
        </w:numPr>
        <w:autoSpaceDN w:val="0"/>
        <w:spacing w:after="60"/>
        <w:ind w:left="1004"/>
        <w:rPr>
          <w:i/>
          <w:iCs/>
        </w:rPr>
      </w:pPr>
      <w:r w:rsidRPr="003626A9">
        <w:rPr>
          <w:i/>
          <w:iCs/>
        </w:rPr>
        <w:t>Specification of enhancements to reduce service interruption due to IAB-node migration and BH RLF recovery.</w:t>
      </w:r>
    </w:p>
    <w:p w14:paraId="0D40E88B" w14:textId="77777777" w:rsidR="003626A9" w:rsidRPr="003626A9" w:rsidRDefault="003626A9" w:rsidP="003626A9">
      <w:pPr>
        <w:numPr>
          <w:ilvl w:val="0"/>
          <w:numId w:val="8"/>
        </w:numPr>
        <w:autoSpaceDN w:val="0"/>
        <w:spacing w:after="240"/>
        <w:ind w:left="1003" w:hanging="357"/>
        <w:rPr>
          <w:i/>
          <w:iCs/>
        </w:rPr>
      </w:pPr>
      <w:r w:rsidRPr="003626A9">
        <w:rPr>
          <w:i/>
          <w:iCs/>
        </w:rPr>
        <w:t>Specification of enhancements to topological redundancy, including support of CP/UP separation.</w:t>
      </w:r>
    </w:p>
    <w:p w14:paraId="31EC6E66" w14:textId="226194EC" w:rsidR="007F2E08" w:rsidRPr="006E13D1" w:rsidRDefault="00AF56FA" w:rsidP="00A209D6">
      <w:r>
        <w:t>The inter-donor topology adaptation was excluded from the Rel.16 IAB support</w:t>
      </w:r>
      <w:r w:rsidR="00F579CD">
        <w:t>.</w:t>
      </w:r>
      <w:r>
        <w:t xml:space="preserve"> For such cases the assumption was that the procedure would </w:t>
      </w:r>
      <w:r w:rsidR="007A4758">
        <w:t xml:space="preserve">essentially </w:t>
      </w:r>
      <w:r>
        <w:t>correspond to IAB integration</w:t>
      </w:r>
      <w:r w:rsidR="007A4758">
        <w:t xml:space="preserve"> in terms of required configurations and establishing connections between the affected nodes</w:t>
      </w:r>
      <w:r>
        <w:t>. This obviously would not be an optimum solution and there are multiple areas where enhancements can be considered for improved and optimized behaviour and performance in the Rel.17 IAB network. This contribution discusse</w:t>
      </w:r>
      <w:r w:rsidR="00F24C5E">
        <w:t>s</w:t>
      </w:r>
      <w:r>
        <w:t xml:space="preserve"> some of the areas for RAN2 </w:t>
      </w:r>
      <w:r w:rsidR="00F24C5E">
        <w:t xml:space="preserve">to </w:t>
      </w:r>
      <w:r>
        <w:t>investiga</w:t>
      </w:r>
      <w:r w:rsidR="00F24C5E">
        <w:t>te</w:t>
      </w:r>
      <w:r>
        <w:t xml:space="preserve"> as Rel.17 features addressing the defined objective.</w:t>
      </w:r>
    </w:p>
    <w:p w14:paraId="766D6D29" w14:textId="14998746" w:rsidR="00A209D6" w:rsidRDefault="00AF56FA" w:rsidP="00A209D6">
      <w:pPr>
        <w:pStyle w:val="Heading1"/>
      </w:pPr>
      <w:r>
        <w:t>2</w:t>
      </w:r>
      <w:r w:rsidR="00A209D6" w:rsidRPr="006E13D1">
        <w:tab/>
      </w:r>
      <w:r w:rsidR="00F24C5E">
        <w:t>Discussion</w:t>
      </w:r>
    </w:p>
    <w:p w14:paraId="26A561A6" w14:textId="5DB3BE64" w:rsidR="007A552F" w:rsidRDefault="007A552F" w:rsidP="007A552F">
      <w:r>
        <w:t>The basic signalling procedure for the inter-</w:t>
      </w:r>
      <w:r w:rsidR="007A4758">
        <w:t>donor</w:t>
      </w:r>
      <w:r>
        <w:t xml:space="preserve"> topology adaptation is illustrated in Fig.1, see 9.7.6 </w:t>
      </w:r>
      <w:r w:rsidR="007A4758">
        <w:t>in [2]</w:t>
      </w:r>
      <w:r>
        <w:t>.</w:t>
      </w:r>
    </w:p>
    <w:p w14:paraId="256C2B5A" w14:textId="46D3EB51" w:rsidR="007A552F" w:rsidRDefault="007A552F" w:rsidP="007A552F">
      <w:pPr>
        <w:rPr>
          <w:lang w:eastAsia="ja-JP"/>
        </w:rPr>
      </w:pPr>
      <w:r>
        <w:rPr>
          <w:lang w:eastAsia="ja-JP"/>
        </w:rPr>
        <w:object w:dxaOrig="8820" w:dyaOrig="7845" w14:anchorId="3FF23F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391.5pt" o:ole="">
            <v:imagedata r:id="rId13" o:title=""/>
          </v:shape>
          <o:OLEObject Type="Embed" ProgID="Visio.Drawing.11" ShapeID="_x0000_i1025" DrawAspect="Content" ObjectID="_1658294249" r:id="rId14"/>
        </w:object>
      </w:r>
    </w:p>
    <w:p w14:paraId="108F97E0" w14:textId="5495ED77" w:rsidR="0019128F" w:rsidRDefault="0019128F" w:rsidP="0019128F">
      <w:pPr>
        <w:pStyle w:val="TF"/>
      </w:pPr>
      <w:r w:rsidRPr="006E13D1">
        <w:t xml:space="preserve">Figure </w:t>
      </w:r>
      <w:r>
        <w:t>1</w:t>
      </w:r>
      <w:r w:rsidRPr="006E13D1">
        <w:t xml:space="preserve">: </w:t>
      </w:r>
      <w:r w:rsidRPr="0019128F">
        <w:t>Signalling procedure for inter-donor topology adaptation</w:t>
      </w:r>
    </w:p>
    <w:p w14:paraId="59A0BDCD" w14:textId="316404B3" w:rsidR="00A61F1F" w:rsidRDefault="002A7F5F" w:rsidP="007A552F">
      <w:r>
        <w:t xml:space="preserve">The procedure is applying the </w:t>
      </w:r>
      <w:r w:rsidR="00A61F1F">
        <w:t xml:space="preserve">handover procedure </w:t>
      </w:r>
      <w:r w:rsidR="00A821EF">
        <w:t xml:space="preserve">specified </w:t>
      </w:r>
      <w:r w:rsidR="00A61F1F">
        <w:t xml:space="preserve">for the UE mobility. However, this </w:t>
      </w:r>
      <w:r w:rsidR="004F05F3">
        <w:t xml:space="preserve">does </w:t>
      </w:r>
      <w:r w:rsidR="00A61F1F">
        <w:t xml:space="preserve">not account </w:t>
      </w:r>
      <w:r w:rsidR="004F05F3">
        <w:t xml:space="preserve">for </w:t>
      </w:r>
      <w:r w:rsidR="00A61F1F">
        <w:t>the IAB specific issues which arise from the fact that the migrating node is a network node serving UEs within served cell(s).</w:t>
      </w:r>
      <w:r w:rsidR="00A00FBB">
        <w:t xml:space="preserve"> UEs experience RLF after IAB-node migration followed by cell re-selection and connection setup.</w:t>
      </w:r>
    </w:p>
    <w:p w14:paraId="02D9F542" w14:textId="5EF10366" w:rsidR="00A61F1F" w:rsidRDefault="00A61F1F" w:rsidP="007A552F">
      <w:r>
        <w:t>In the following sections we discuss details on the issues in the IAB migration scenario</w:t>
      </w:r>
      <w:r w:rsidR="00A821EF">
        <w:t>, both from the IAB-node as well as UE perspective.</w:t>
      </w:r>
    </w:p>
    <w:p w14:paraId="540BE6F4" w14:textId="31900232" w:rsidR="009721D6" w:rsidRPr="006E13D1" w:rsidRDefault="009721D6" w:rsidP="009721D6">
      <w:pPr>
        <w:pStyle w:val="Heading2"/>
      </w:pPr>
      <w:r>
        <w:t>2</w:t>
      </w:r>
      <w:r w:rsidRPr="006E13D1">
        <w:t>.</w:t>
      </w:r>
      <w:r w:rsidR="00D575DD">
        <w:t>1</w:t>
      </w:r>
      <w:r w:rsidRPr="006E13D1">
        <w:tab/>
      </w:r>
      <w:r>
        <w:t>Impact</w:t>
      </w:r>
      <w:r w:rsidR="0019128F">
        <w:t>s</w:t>
      </w:r>
      <w:r>
        <w:t xml:space="preserve"> on access UEs</w:t>
      </w:r>
    </w:p>
    <w:p w14:paraId="34C958A6" w14:textId="0618DED5" w:rsidR="005E27D2" w:rsidRDefault="005E27D2" w:rsidP="00A209D6">
      <w:r>
        <w:t>In general, the UEs should have minimized or negligible visibility to the network deployment, even when served by IAB nodes where the BH changes could happen. However, some impacts may be inevitable, but the target should be to reduce those to minimum. Below, we discuss some of the issues and certain options for improvement.</w:t>
      </w:r>
    </w:p>
    <w:p w14:paraId="17C35F3C" w14:textId="2D01BC3F" w:rsidR="00A821EF" w:rsidRDefault="009721D6" w:rsidP="00A209D6">
      <w:r>
        <w:t xml:space="preserve">When the donor CU changes, the cell served by the migrating IAB node also </w:t>
      </w:r>
      <w:r w:rsidR="00BF68E9">
        <w:t xml:space="preserve">changes. </w:t>
      </w:r>
      <w:r w:rsidR="0044392D">
        <w:t xml:space="preserve">As per the procedure in Figure 1 </w:t>
      </w:r>
      <w:r w:rsidR="00BF68E9">
        <w:t xml:space="preserve">UEs see the old cell disappearing causing RLF and initiation of connection re-establishment attempt. The new cell becomes active after successful HO completion and setup of the F1 connection to the target CU. UEs should detect the appearing cell and preferably select that one for the re-establishment (assuming they stay within the coverage of migrating node). </w:t>
      </w:r>
      <w:r w:rsidR="0019128F">
        <w:t>There will be therefore delays first to detect RLF (depends on the filtering of RLM measurements) and then to detect the new appearing cell.</w:t>
      </w:r>
    </w:p>
    <w:p w14:paraId="22DCFF95" w14:textId="2DF88692" w:rsidR="0019128F" w:rsidRPr="0019128F" w:rsidRDefault="0019128F" w:rsidP="00A209D6">
      <w:pPr>
        <w:rPr>
          <w:b/>
          <w:bCs/>
        </w:rPr>
      </w:pPr>
      <w:r w:rsidRPr="0019128F">
        <w:rPr>
          <w:b/>
          <w:bCs/>
        </w:rPr>
        <w:t>Observation</w:t>
      </w:r>
      <w:r w:rsidR="00517DC4">
        <w:rPr>
          <w:b/>
          <w:bCs/>
        </w:rPr>
        <w:t xml:space="preserve"> 1</w:t>
      </w:r>
      <w:r w:rsidRPr="0019128F">
        <w:rPr>
          <w:b/>
          <w:bCs/>
        </w:rPr>
        <w:t>: UEs served by the migrating IAB-node experience connection break due to delay in detecting RLF in the source cell and delay detecting the new cell.</w:t>
      </w:r>
    </w:p>
    <w:p w14:paraId="7F1340B9" w14:textId="77777777" w:rsidR="00EE0992" w:rsidRDefault="0019128F" w:rsidP="00A209D6">
      <w:r>
        <w:t xml:space="preserve">To alleviate the negative impact due to such issue, it would be better to have network control over the UE behaviour so that they could be directed to the new cell to be served by the same IAB-node which they were connected to. A basic </w:t>
      </w:r>
      <w:r>
        <w:lastRenderedPageBreak/>
        <w:t>option for the network control would be to use HO signalling also for the UEs</w:t>
      </w:r>
      <w:r w:rsidR="00EE0992">
        <w:t xml:space="preserve"> so that they would not connect to other cells (presumably non-optimum from coverage point of view) during the IAB-node migration.</w:t>
      </w:r>
    </w:p>
    <w:p w14:paraId="41CC16AE" w14:textId="756CE3E6" w:rsidR="00EE0992" w:rsidRPr="00EE0992" w:rsidRDefault="00EE0992" w:rsidP="00A209D6">
      <w:pPr>
        <w:rPr>
          <w:b/>
          <w:bCs/>
        </w:rPr>
      </w:pPr>
      <w:r w:rsidRPr="00EE0992">
        <w:rPr>
          <w:b/>
          <w:bCs/>
        </w:rPr>
        <w:t>Observation</w:t>
      </w:r>
      <w:r w:rsidR="00517DC4">
        <w:rPr>
          <w:b/>
          <w:bCs/>
        </w:rPr>
        <w:t xml:space="preserve"> 2</w:t>
      </w:r>
      <w:r w:rsidRPr="00EE0992">
        <w:rPr>
          <w:b/>
          <w:bCs/>
        </w:rPr>
        <w:t xml:space="preserve">: To have network control over the UE behaviour during the IAB-node migration, RLF/re-selection could be replaced with HO signalling to direct the </w:t>
      </w:r>
      <w:r w:rsidR="00CE2A98">
        <w:rPr>
          <w:b/>
          <w:bCs/>
        </w:rPr>
        <w:t>UE</w:t>
      </w:r>
      <w:r w:rsidRPr="00EE0992">
        <w:rPr>
          <w:b/>
          <w:bCs/>
        </w:rPr>
        <w:t xml:space="preserve"> to the cell served by the same IAB-node after the migration.</w:t>
      </w:r>
    </w:p>
    <w:p w14:paraId="234EE66B" w14:textId="6D6FD2A8" w:rsidR="0019128F" w:rsidRDefault="00EE0992" w:rsidP="00A209D6">
      <w:r>
        <w:t xml:space="preserve">The HO signalling, however, would require the knowledge about the target cell which would be known </w:t>
      </w:r>
      <w:r w:rsidR="000D579F">
        <w:t xml:space="preserve">only </w:t>
      </w:r>
      <w:r>
        <w:t xml:space="preserve">once the IAB-node has already migrated to the target node. This calls for early configuration of the target path and likely some enhancements for HO preparation between source and target CUs over the </w:t>
      </w:r>
      <w:proofErr w:type="spellStart"/>
      <w:r>
        <w:t>Xn</w:t>
      </w:r>
      <w:proofErr w:type="spellEnd"/>
      <w:r>
        <w:t>.</w:t>
      </w:r>
      <w:r w:rsidR="005E27D2">
        <w:t xml:space="preserve"> The HO preparation could include relevant information about the target cell so that the UEs know how to access and execute the HO to the new cell.</w:t>
      </w:r>
      <w:r w:rsidR="00D575DD">
        <w:t xml:space="preserve"> This falls also </w:t>
      </w:r>
      <w:r w:rsidR="00686AFF">
        <w:t>in</w:t>
      </w:r>
      <w:r w:rsidR="00D575DD">
        <w:t>to RAN3 scope.</w:t>
      </w:r>
    </w:p>
    <w:p w14:paraId="4232B810" w14:textId="49952045" w:rsidR="00EE0992" w:rsidRPr="005E27D2" w:rsidRDefault="00EE0992" w:rsidP="00A209D6">
      <w:pPr>
        <w:rPr>
          <w:b/>
          <w:bCs/>
        </w:rPr>
      </w:pPr>
      <w:r w:rsidRPr="005E27D2">
        <w:rPr>
          <w:b/>
          <w:bCs/>
        </w:rPr>
        <w:t>Observation</w:t>
      </w:r>
      <w:r w:rsidR="00517DC4">
        <w:rPr>
          <w:b/>
          <w:bCs/>
        </w:rPr>
        <w:t xml:space="preserve"> 3</w:t>
      </w:r>
      <w:r w:rsidRPr="005E27D2">
        <w:rPr>
          <w:b/>
          <w:bCs/>
        </w:rPr>
        <w:t xml:space="preserve">: </w:t>
      </w:r>
      <w:r w:rsidR="005E27D2" w:rsidRPr="005E27D2">
        <w:rPr>
          <w:b/>
          <w:bCs/>
        </w:rPr>
        <w:t xml:space="preserve">Advance </w:t>
      </w:r>
      <w:r w:rsidRPr="005E27D2">
        <w:rPr>
          <w:b/>
          <w:bCs/>
        </w:rPr>
        <w:t>configuration of the target path as well as</w:t>
      </w:r>
      <w:r w:rsidR="005E27D2" w:rsidRPr="005E27D2">
        <w:rPr>
          <w:b/>
          <w:bCs/>
        </w:rPr>
        <w:t xml:space="preserve"> </w:t>
      </w:r>
      <w:r w:rsidR="00D96152">
        <w:rPr>
          <w:b/>
          <w:bCs/>
        </w:rPr>
        <w:t>enhanced</w:t>
      </w:r>
      <w:r w:rsidR="00D96152" w:rsidRPr="005E27D2">
        <w:rPr>
          <w:b/>
          <w:bCs/>
        </w:rPr>
        <w:t xml:space="preserve"> </w:t>
      </w:r>
      <w:r w:rsidR="005E27D2" w:rsidRPr="005E27D2">
        <w:rPr>
          <w:b/>
          <w:bCs/>
        </w:rPr>
        <w:t xml:space="preserve">HO preparation </w:t>
      </w:r>
      <w:r w:rsidR="00D96152">
        <w:rPr>
          <w:b/>
          <w:bCs/>
        </w:rPr>
        <w:t xml:space="preserve">procedure </w:t>
      </w:r>
      <w:r w:rsidR="005E27D2" w:rsidRPr="005E27D2">
        <w:rPr>
          <w:b/>
          <w:bCs/>
        </w:rPr>
        <w:t xml:space="preserve">over the </w:t>
      </w:r>
      <w:proofErr w:type="spellStart"/>
      <w:r w:rsidR="005E27D2" w:rsidRPr="005E27D2">
        <w:rPr>
          <w:b/>
          <w:bCs/>
        </w:rPr>
        <w:t>Xn</w:t>
      </w:r>
      <w:proofErr w:type="spellEnd"/>
      <w:r w:rsidR="005E27D2" w:rsidRPr="005E27D2">
        <w:rPr>
          <w:b/>
          <w:bCs/>
        </w:rPr>
        <w:t xml:space="preserve"> would help in shortening the connection break during the IAB-node migration and result</w:t>
      </w:r>
      <w:r w:rsidR="008B3B56">
        <w:rPr>
          <w:b/>
          <w:bCs/>
        </w:rPr>
        <w:t>ing</w:t>
      </w:r>
      <w:r w:rsidR="005E27D2" w:rsidRPr="005E27D2">
        <w:rPr>
          <w:b/>
          <w:bCs/>
        </w:rPr>
        <w:t xml:space="preserve"> UE HO.</w:t>
      </w:r>
    </w:p>
    <w:p w14:paraId="72EC3A66" w14:textId="65CCAEF0" w:rsidR="00A821EF" w:rsidRDefault="008E7F5D" w:rsidP="00A209D6">
      <w:r>
        <w:t xml:space="preserve">Current HO procedure includes MAC reset and RLC re-establishment during the HO execution. </w:t>
      </w:r>
      <w:proofErr w:type="gramStart"/>
      <w:r w:rsidR="00370251">
        <w:t>Similarly</w:t>
      </w:r>
      <w:proofErr w:type="gramEnd"/>
      <w:r w:rsidR="00370251">
        <w:t xml:space="preserve"> to certain bearer-type-change cases in MR-DC (see TS 37.340 Annex A), f</w:t>
      </w:r>
      <w:r>
        <w:t xml:space="preserve">or UEs connected to the migrating node, this would be basically an unnecessary operation as MAC and RLC would be re-established to the same node over the same radio link. </w:t>
      </w:r>
      <w:r w:rsidR="00BA5748">
        <w:t>Any</w:t>
      </w:r>
      <w:r>
        <w:t xml:space="preserve"> optimization</w:t>
      </w:r>
      <w:r w:rsidR="00BA5748">
        <w:t xml:space="preserve"> here</w:t>
      </w:r>
      <w:r>
        <w:t xml:space="preserve"> would affect the access UE specification which has been avoided in Rel.16 IAB</w:t>
      </w:r>
      <w:r w:rsidR="00BA5748">
        <w:t>,</w:t>
      </w:r>
      <w:r>
        <w:t xml:space="preserve"> and </w:t>
      </w:r>
      <w:r w:rsidR="000915D4">
        <w:t xml:space="preserve">such </w:t>
      </w:r>
      <w:proofErr w:type="gramStart"/>
      <w:r w:rsidR="000915D4">
        <w:t xml:space="preserve">optimization </w:t>
      </w:r>
      <w:r w:rsidR="00BA5748">
        <w:t xml:space="preserve"> </w:t>
      </w:r>
      <w:r w:rsidR="000915D4">
        <w:t>c</w:t>
      </w:r>
      <w:r>
        <w:t>ould</w:t>
      </w:r>
      <w:proofErr w:type="gramEnd"/>
      <w:r>
        <w:t xml:space="preserve"> be </w:t>
      </w:r>
      <w:r w:rsidR="000915D4">
        <w:t>considered</w:t>
      </w:r>
      <w:r>
        <w:t xml:space="preserve"> in </w:t>
      </w:r>
      <w:r w:rsidR="000915D4">
        <w:rPr>
          <w:lang w:val="en-US"/>
        </w:rPr>
        <w:t>Rel-17</w:t>
      </w:r>
      <w:r>
        <w:t xml:space="preserve">. </w:t>
      </w:r>
    </w:p>
    <w:p w14:paraId="05EEB4CA" w14:textId="43117B20" w:rsidR="008E7F5D" w:rsidRPr="008E7F5D" w:rsidRDefault="008E7F5D" w:rsidP="00A209D6">
      <w:pPr>
        <w:rPr>
          <w:b/>
          <w:bCs/>
        </w:rPr>
      </w:pPr>
      <w:r w:rsidRPr="008E7F5D">
        <w:rPr>
          <w:b/>
          <w:bCs/>
        </w:rPr>
        <w:t>Observation</w:t>
      </w:r>
      <w:r w:rsidR="00517DC4">
        <w:rPr>
          <w:b/>
          <w:bCs/>
        </w:rPr>
        <w:t xml:space="preserve"> 4</w:t>
      </w:r>
      <w:r w:rsidRPr="008E7F5D">
        <w:rPr>
          <w:b/>
          <w:bCs/>
        </w:rPr>
        <w:t xml:space="preserve">: </w:t>
      </w:r>
      <w:proofErr w:type="gramStart"/>
      <w:r w:rsidR="00370251" w:rsidRPr="00370251">
        <w:rPr>
          <w:b/>
          <w:bCs/>
        </w:rPr>
        <w:t>Similarly</w:t>
      </w:r>
      <w:proofErr w:type="gramEnd"/>
      <w:r w:rsidR="00370251" w:rsidRPr="00370251">
        <w:rPr>
          <w:b/>
          <w:bCs/>
        </w:rPr>
        <w:t xml:space="preserve"> to certain bearer-type</w:t>
      </w:r>
      <w:r w:rsidR="00370251">
        <w:rPr>
          <w:b/>
          <w:bCs/>
        </w:rPr>
        <w:t>-</w:t>
      </w:r>
      <w:r w:rsidR="00370251" w:rsidRPr="00370251">
        <w:rPr>
          <w:b/>
          <w:bCs/>
        </w:rPr>
        <w:t>change cases in MR-DC,</w:t>
      </w:r>
      <w:r w:rsidR="00370251">
        <w:rPr>
          <w:b/>
          <w:bCs/>
        </w:rPr>
        <w:t xml:space="preserve"> </w:t>
      </w:r>
      <w:r w:rsidRPr="008E7F5D">
        <w:rPr>
          <w:b/>
          <w:bCs/>
        </w:rPr>
        <w:t xml:space="preserve">UE MAC reset and RLC establishment </w:t>
      </w:r>
      <w:r w:rsidR="007A19D9">
        <w:rPr>
          <w:b/>
          <w:bCs/>
        </w:rPr>
        <w:t xml:space="preserve">during </w:t>
      </w:r>
      <w:r w:rsidRPr="008E7F5D">
        <w:rPr>
          <w:b/>
          <w:bCs/>
        </w:rPr>
        <w:t>the HO procedure to the same IAB node seems excessive overhead without benefit in the IAB migration scenario.</w:t>
      </w:r>
    </w:p>
    <w:p w14:paraId="64504E72" w14:textId="61078AA2" w:rsidR="00D575DD" w:rsidRPr="006E13D1" w:rsidRDefault="00D575DD" w:rsidP="00D575DD">
      <w:pPr>
        <w:pStyle w:val="Heading2"/>
      </w:pPr>
      <w:r>
        <w:t>2</w:t>
      </w:r>
      <w:r w:rsidRPr="006E13D1">
        <w:t>.</w:t>
      </w:r>
      <w:r>
        <w:t>2</w:t>
      </w:r>
      <w:r w:rsidRPr="006E13D1">
        <w:tab/>
      </w:r>
      <w:r>
        <w:t>Improvement areas for IAB network</w:t>
      </w:r>
    </w:p>
    <w:p w14:paraId="77DE5B6E" w14:textId="10B85343" w:rsidR="00D575DD" w:rsidRDefault="00D575DD" w:rsidP="00D575DD">
      <w:r>
        <w:t xml:space="preserve">The </w:t>
      </w:r>
      <w:r w:rsidR="00C47566">
        <w:t xml:space="preserve">mobility </w:t>
      </w:r>
      <w:r>
        <w:t xml:space="preserve">procedure in a multi-hop scenario will require re-configuration of not only the migrating node and the donor nodes, but also each intermediate node on the affected paths. This causes large signalling overhead and latencies and extended break in the backhaul connection and service interruption for the UEs. Referring to steps A and C in Fig.1, the target CU </w:t>
      </w:r>
      <w:proofErr w:type="gramStart"/>
      <w:r>
        <w:t>has to</w:t>
      </w:r>
      <w:proofErr w:type="gramEnd"/>
      <w:r>
        <w:t xml:space="preserve"> configure the routing and channel mapping for the target path, and the source CU eventually has to release the source path configurations.</w:t>
      </w:r>
      <w:r w:rsidR="00C47566">
        <w:t xml:space="preserve"> As discussed also in the previous section, advance configuration of the target path (incl. intermediate nodes) would shorten the service interruption. For advance configuration, not all information is necessarily known before the F1 is set-up between the migrating IAB-node and the target CU. Such information is e.g. the BAP address under the new topology. IAB-donors are configuring the addresses within their own controlled topologies, but the addressing can be independent between the IAB-donor</w:t>
      </w:r>
      <w:r w:rsidR="00F911B7">
        <w:t>s</w:t>
      </w:r>
      <w:r w:rsidR="00C47566">
        <w:t xml:space="preserve">. To enable the advance configuration, </w:t>
      </w:r>
      <w:r w:rsidR="0018496D">
        <w:t xml:space="preserve">it would be beneficial to enhance the inter-CU signalling to carry also </w:t>
      </w:r>
      <w:r w:rsidR="00C47566">
        <w:t>such information</w:t>
      </w:r>
      <w:r w:rsidR="0018496D">
        <w:t>.</w:t>
      </w:r>
    </w:p>
    <w:p w14:paraId="4A75E172" w14:textId="71593885" w:rsidR="0018496D" w:rsidRPr="0018496D" w:rsidRDefault="0018496D" w:rsidP="00D575DD">
      <w:pPr>
        <w:rPr>
          <w:b/>
          <w:bCs/>
        </w:rPr>
      </w:pPr>
      <w:r w:rsidRPr="0018496D">
        <w:rPr>
          <w:b/>
          <w:bCs/>
        </w:rPr>
        <w:t>Observation</w:t>
      </w:r>
      <w:r w:rsidR="00517DC4">
        <w:rPr>
          <w:b/>
          <w:bCs/>
        </w:rPr>
        <w:t xml:space="preserve"> 5</w:t>
      </w:r>
      <w:r w:rsidRPr="0018496D">
        <w:rPr>
          <w:b/>
          <w:bCs/>
        </w:rPr>
        <w:t>: Enhance</w:t>
      </w:r>
      <w:r w:rsidR="00F911B7">
        <w:rPr>
          <w:b/>
          <w:bCs/>
        </w:rPr>
        <w:t>d</w:t>
      </w:r>
      <w:r w:rsidRPr="0018496D">
        <w:rPr>
          <w:b/>
          <w:bCs/>
        </w:rPr>
        <w:t xml:space="preserve"> inter-CU signalling during the IAB-migration would facilitate the advance configuration of the target path.</w:t>
      </w:r>
    </w:p>
    <w:p w14:paraId="1A2E9C5D" w14:textId="0A5EE173" w:rsidR="0019128F" w:rsidRDefault="007A19D9" w:rsidP="006C1D56">
      <w:pPr>
        <w:pStyle w:val="TF"/>
        <w:jc w:val="left"/>
        <w:rPr>
          <w:rFonts w:ascii="Times New Roman" w:hAnsi="Times New Roman"/>
          <w:b w:val="0"/>
        </w:rPr>
      </w:pPr>
      <w:r>
        <w:rPr>
          <w:rFonts w:ascii="Times New Roman" w:hAnsi="Times New Roman"/>
          <w:b w:val="0"/>
        </w:rPr>
        <w:t xml:space="preserve">In a static IAB deployment, PCIs can be allocated and managed (to avoid PCI collision/confusion) </w:t>
      </w:r>
      <w:r w:rsidR="00A00FBB">
        <w:rPr>
          <w:rFonts w:ascii="Times New Roman" w:hAnsi="Times New Roman"/>
          <w:b w:val="0"/>
        </w:rPr>
        <w:t xml:space="preserve">as </w:t>
      </w:r>
      <w:r>
        <w:rPr>
          <w:rFonts w:ascii="Times New Roman" w:hAnsi="Times New Roman"/>
          <w:b w:val="0"/>
        </w:rPr>
        <w:t xml:space="preserve">in conventional deployments. This could be the case also in the IAB migration </w:t>
      </w:r>
      <w:r w:rsidR="00381113">
        <w:rPr>
          <w:rFonts w:ascii="Times New Roman" w:hAnsi="Times New Roman"/>
          <w:b w:val="0"/>
        </w:rPr>
        <w:t xml:space="preserve">provided that </w:t>
      </w:r>
      <w:r>
        <w:rPr>
          <w:rFonts w:ascii="Times New Roman" w:hAnsi="Times New Roman"/>
          <w:b w:val="0"/>
        </w:rPr>
        <w:t xml:space="preserve">the neighbouring cells remain (unless new nodes are deployed). This will become a problem </w:t>
      </w:r>
      <w:r w:rsidR="00552D24">
        <w:rPr>
          <w:rFonts w:ascii="Times New Roman" w:hAnsi="Times New Roman"/>
          <w:b w:val="0"/>
        </w:rPr>
        <w:t xml:space="preserve">particularly </w:t>
      </w:r>
      <w:r>
        <w:rPr>
          <w:rFonts w:ascii="Times New Roman" w:hAnsi="Times New Roman"/>
          <w:b w:val="0"/>
        </w:rPr>
        <w:t>with mobile IAB where the nodes, and therefore the served cells, are physically moving</w:t>
      </w:r>
      <w:r w:rsidR="00C10498">
        <w:rPr>
          <w:rFonts w:ascii="Times New Roman" w:hAnsi="Times New Roman"/>
          <w:b w:val="0"/>
        </w:rPr>
        <w:t xml:space="preserve">. In Rel.17, however, this may be considered </w:t>
      </w:r>
      <w:r w:rsidR="00552D24">
        <w:rPr>
          <w:rFonts w:ascii="Times New Roman" w:hAnsi="Times New Roman"/>
          <w:b w:val="0"/>
        </w:rPr>
        <w:t xml:space="preserve">only </w:t>
      </w:r>
      <w:r w:rsidR="00C10498">
        <w:rPr>
          <w:rFonts w:ascii="Times New Roman" w:hAnsi="Times New Roman"/>
          <w:b w:val="0"/>
        </w:rPr>
        <w:t>as a forward compatibility issue so the that the specifications can be extended to allow PCI changes.</w:t>
      </w:r>
    </w:p>
    <w:p w14:paraId="5BA3569A" w14:textId="51E54F92" w:rsidR="00C10498" w:rsidRPr="00C10498" w:rsidRDefault="00C10498" w:rsidP="006C1D56">
      <w:pPr>
        <w:pStyle w:val="TF"/>
        <w:jc w:val="left"/>
        <w:rPr>
          <w:rFonts w:ascii="Times New Roman" w:hAnsi="Times New Roman"/>
          <w:bCs/>
        </w:rPr>
      </w:pPr>
      <w:r w:rsidRPr="00C10498">
        <w:rPr>
          <w:rFonts w:ascii="Times New Roman" w:hAnsi="Times New Roman"/>
          <w:bCs/>
        </w:rPr>
        <w:t>Observation</w:t>
      </w:r>
      <w:r w:rsidR="00517DC4">
        <w:rPr>
          <w:rFonts w:ascii="Times New Roman" w:hAnsi="Times New Roman"/>
          <w:bCs/>
        </w:rPr>
        <w:t xml:space="preserve"> 6</w:t>
      </w:r>
      <w:r w:rsidRPr="00C10498">
        <w:rPr>
          <w:rFonts w:ascii="Times New Roman" w:hAnsi="Times New Roman"/>
          <w:bCs/>
        </w:rPr>
        <w:t>: PCI management can utilize existing mechanisms to avoid PCI collisions/confusion. Principles for PCI allocations can be revisited in future releases when mobile IAB is specified.</w:t>
      </w:r>
    </w:p>
    <w:p w14:paraId="31C6EDFC" w14:textId="3B5A1EAB" w:rsidR="00C10498" w:rsidRDefault="00C10498" w:rsidP="006C1D56">
      <w:pPr>
        <w:pStyle w:val="TF"/>
        <w:jc w:val="left"/>
        <w:rPr>
          <w:rFonts w:ascii="Times New Roman" w:hAnsi="Times New Roman"/>
          <w:b w:val="0"/>
        </w:rPr>
      </w:pPr>
      <w:r>
        <w:rPr>
          <w:rFonts w:ascii="Times New Roman" w:hAnsi="Times New Roman"/>
          <w:b w:val="0"/>
        </w:rPr>
        <w:t>For seamless BH change</w:t>
      </w:r>
      <w:r w:rsidR="007C2C10">
        <w:rPr>
          <w:rFonts w:ascii="Times New Roman" w:hAnsi="Times New Roman"/>
          <w:b w:val="0"/>
        </w:rPr>
        <w:t xml:space="preserve"> and/or to provide redundancy</w:t>
      </w:r>
      <w:r>
        <w:rPr>
          <w:rFonts w:ascii="Times New Roman" w:hAnsi="Times New Roman"/>
          <w:b w:val="0"/>
        </w:rPr>
        <w:t xml:space="preserve">, inter-donor dual connectivity (DC) </w:t>
      </w:r>
      <w:r w:rsidR="007C2C10">
        <w:rPr>
          <w:rFonts w:ascii="Times New Roman" w:hAnsi="Times New Roman"/>
          <w:b w:val="0"/>
        </w:rPr>
        <w:t>can be configured</w:t>
      </w:r>
      <w:r>
        <w:rPr>
          <w:rFonts w:ascii="Times New Roman" w:hAnsi="Times New Roman"/>
          <w:b w:val="0"/>
        </w:rPr>
        <w:t xml:space="preserve">. </w:t>
      </w:r>
      <w:r w:rsidR="007C2C10">
        <w:rPr>
          <w:rFonts w:ascii="Times New Roman" w:hAnsi="Times New Roman"/>
          <w:b w:val="0"/>
        </w:rPr>
        <w:t>Rel.16 supports only intra-donor DC and Rel.17 IAB should be extended to enable also inter-donor case. One issue to consider in the inter-donor DC is the BAP addresses and how they should be handled in a DC scenario. IAB-donors are allocating the addresses within the topologies they are controlling. If the donors are independently configuring the addresses, there can be address collisions affecting the DC configuration.</w:t>
      </w:r>
      <w:r w:rsidR="00AC03A6">
        <w:rPr>
          <w:rFonts w:ascii="Times New Roman" w:hAnsi="Times New Roman"/>
          <w:b w:val="0"/>
        </w:rPr>
        <w:t xml:space="preserve"> As the consequence, the same issue applies also </w:t>
      </w:r>
      <w:r w:rsidR="00DC608F">
        <w:rPr>
          <w:rFonts w:ascii="Times New Roman" w:hAnsi="Times New Roman"/>
          <w:b w:val="0"/>
        </w:rPr>
        <w:t xml:space="preserve">to </w:t>
      </w:r>
      <w:r w:rsidR="00AC03A6">
        <w:rPr>
          <w:rFonts w:ascii="Times New Roman" w:hAnsi="Times New Roman"/>
          <w:b w:val="0"/>
        </w:rPr>
        <w:t>routing IDs under two donors.</w:t>
      </w:r>
    </w:p>
    <w:p w14:paraId="037BF5B4" w14:textId="2A1367E6" w:rsidR="007C2C10" w:rsidRPr="007C2C10" w:rsidRDefault="007C2C10" w:rsidP="006C1D56">
      <w:pPr>
        <w:pStyle w:val="TF"/>
        <w:jc w:val="left"/>
        <w:rPr>
          <w:rFonts w:ascii="Times New Roman" w:hAnsi="Times New Roman"/>
          <w:bCs/>
        </w:rPr>
      </w:pPr>
      <w:r w:rsidRPr="007C2C10">
        <w:rPr>
          <w:rFonts w:ascii="Times New Roman" w:hAnsi="Times New Roman"/>
          <w:bCs/>
        </w:rPr>
        <w:t>Observation</w:t>
      </w:r>
      <w:r w:rsidR="00517DC4">
        <w:rPr>
          <w:rFonts w:ascii="Times New Roman" w:hAnsi="Times New Roman"/>
          <w:bCs/>
        </w:rPr>
        <w:t xml:space="preserve"> 7</w:t>
      </w:r>
      <w:r w:rsidRPr="007C2C10">
        <w:rPr>
          <w:rFonts w:ascii="Times New Roman" w:hAnsi="Times New Roman"/>
          <w:bCs/>
        </w:rPr>
        <w:t xml:space="preserve">: With independent BAP address </w:t>
      </w:r>
      <w:r w:rsidR="00AC03A6">
        <w:rPr>
          <w:rFonts w:ascii="Times New Roman" w:hAnsi="Times New Roman"/>
          <w:bCs/>
        </w:rPr>
        <w:t xml:space="preserve">and routing ID </w:t>
      </w:r>
      <w:r w:rsidRPr="007C2C10">
        <w:rPr>
          <w:rFonts w:ascii="Times New Roman" w:hAnsi="Times New Roman"/>
          <w:bCs/>
        </w:rPr>
        <w:t>allocations by IAB-donor, there can be collisions in the addresse</w:t>
      </w:r>
      <w:r w:rsidR="00AC03A6">
        <w:rPr>
          <w:rFonts w:ascii="Times New Roman" w:hAnsi="Times New Roman"/>
          <w:bCs/>
        </w:rPr>
        <w:t>s/IDs</w:t>
      </w:r>
      <w:r w:rsidRPr="007C2C10">
        <w:rPr>
          <w:rFonts w:ascii="Times New Roman" w:hAnsi="Times New Roman"/>
          <w:bCs/>
        </w:rPr>
        <w:t xml:space="preserve"> affecting the DC configuration.</w:t>
      </w:r>
    </w:p>
    <w:p w14:paraId="3F27E5BC" w14:textId="0139B378" w:rsidR="007C2C10" w:rsidRDefault="00AC03A6" w:rsidP="006C1D56">
      <w:pPr>
        <w:pStyle w:val="TF"/>
        <w:jc w:val="left"/>
        <w:rPr>
          <w:rFonts w:ascii="Times New Roman" w:hAnsi="Times New Roman"/>
          <w:b w:val="0"/>
        </w:rPr>
      </w:pPr>
      <w:r>
        <w:rPr>
          <w:rFonts w:ascii="Times New Roman" w:hAnsi="Times New Roman"/>
          <w:b w:val="0"/>
        </w:rPr>
        <w:lastRenderedPageBreak/>
        <w:t>The inter-</w:t>
      </w:r>
      <w:proofErr w:type="spellStart"/>
      <w:r>
        <w:rPr>
          <w:rFonts w:ascii="Times New Roman" w:hAnsi="Times New Roman"/>
          <w:b w:val="0"/>
        </w:rPr>
        <w:t>gNB</w:t>
      </w:r>
      <w:proofErr w:type="spellEnd"/>
      <w:r>
        <w:rPr>
          <w:rFonts w:ascii="Times New Roman" w:hAnsi="Times New Roman"/>
          <w:b w:val="0"/>
        </w:rPr>
        <w:t xml:space="preserve"> DC configuration with split CU-DU architecture has a direct </w:t>
      </w:r>
      <w:proofErr w:type="spellStart"/>
      <w:r w:rsidRPr="00AC03A6">
        <w:rPr>
          <w:rFonts w:ascii="Times New Roman" w:hAnsi="Times New Roman"/>
          <w:b w:val="0"/>
        </w:rPr>
        <w:t>Xn</w:t>
      </w:r>
      <w:proofErr w:type="spellEnd"/>
      <w:r w:rsidRPr="00AC03A6">
        <w:rPr>
          <w:rFonts w:ascii="Times New Roman" w:hAnsi="Times New Roman"/>
          <w:b w:val="0"/>
        </w:rPr>
        <w:t xml:space="preserve">-U between </w:t>
      </w:r>
      <w:r w:rsidR="00B869EB">
        <w:rPr>
          <w:rFonts w:ascii="Times New Roman" w:hAnsi="Times New Roman"/>
          <w:b w:val="0"/>
        </w:rPr>
        <w:t xml:space="preserve">PDCP in </w:t>
      </w:r>
      <w:r w:rsidRPr="00AC03A6">
        <w:rPr>
          <w:rFonts w:ascii="Times New Roman" w:hAnsi="Times New Roman"/>
          <w:b w:val="0"/>
        </w:rPr>
        <w:t xml:space="preserve">the </w:t>
      </w:r>
      <w:r>
        <w:rPr>
          <w:rFonts w:ascii="Times New Roman" w:hAnsi="Times New Roman"/>
          <w:b w:val="0"/>
        </w:rPr>
        <w:t>CU</w:t>
      </w:r>
      <w:r w:rsidR="00B869EB">
        <w:rPr>
          <w:rFonts w:ascii="Times New Roman" w:hAnsi="Times New Roman"/>
          <w:b w:val="0"/>
        </w:rPr>
        <w:t>-UP</w:t>
      </w:r>
      <w:r w:rsidRPr="00AC03A6">
        <w:rPr>
          <w:rFonts w:ascii="Times New Roman" w:hAnsi="Times New Roman"/>
          <w:b w:val="0"/>
        </w:rPr>
        <w:t xml:space="preserve"> </w:t>
      </w:r>
      <w:r w:rsidR="00B869EB">
        <w:rPr>
          <w:rFonts w:ascii="Times New Roman" w:hAnsi="Times New Roman"/>
          <w:b w:val="0"/>
        </w:rPr>
        <w:t xml:space="preserve">of MN/SN </w:t>
      </w:r>
      <w:r w:rsidRPr="00AC03A6">
        <w:rPr>
          <w:rFonts w:ascii="Times New Roman" w:hAnsi="Times New Roman"/>
          <w:b w:val="0"/>
        </w:rPr>
        <w:t xml:space="preserve">and </w:t>
      </w:r>
      <w:r w:rsidR="00B869EB">
        <w:rPr>
          <w:rFonts w:ascii="Times New Roman" w:hAnsi="Times New Roman"/>
          <w:b w:val="0"/>
        </w:rPr>
        <w:t xml:space="preserve">RLC/MAC in </w:t>
      </w:r>
      <w:r w:rsidRPr="00AC03A6">
        <w:rPr>
          <w:rFonts w:ascii="Times New Roman" w:hAnsi="Times New Roman"/>
          <w:b w:val="0"/>
        </w:rPr>
        <w:t xml:space="preserve">the DU </w:t>
      </w:r>
      <w:r w:rsidR="00B869EB">
        <w:rPr>
          <w:rFonts w:ascii="Times New Roman" w:hAnsi="Times New Roman"/>
          <w:b w:val="0"/>
        </w:rPr>
        <w:t xml:space="preserve">of SN/MN respectively, </w:t>
      </w:r>
      <w:r w:rsidRPr="00AC03A6">
        <w:rPr>
          <w:rFonts w:ascii="Times New Roman" w:hAnsi="Times New Roman"/>
          <w:b w:val="0"/>
        </w:rPr>
        <w:t>i.e. the direct data transmission</w:t>
      </w:r>
      <w:r>
        <w:rPr>
          <w:rFonts w:ascii="Times New Roman" w:hAnsi="Times New Roman"/>
          <w:b w:val="0"/>
        </w:rPr>
        <w:t xml:space="preserve"> (indirect connection is up to implementation). In the inter-donor IAB</w:t>
      </w:r>
      <w:r w:rsidR="00B869EB">
        <w:rPr>
          <w:rFonts w:ascii="Times New Roman" w:hAnsi="Times New Roman"/>
          <w:b w:val="0"/>
        </w:rPr>
        <w:t xml:space="preserve"> DC</w:t>
      </w:r>
      <w:r>
        <w:rPr>
          <w:rFonts w:ascii="Times New Roman" w:hAnsi="Times New Roman"/>
          <w:b w:val="0"/>
        </w:rPr>
        <w:t xml:space="preserve">, this gives rise to the problem how the </w:t>
      </w:r>
      <w:r w:rsidR="00CD09AC">
        <w:rPr>
          <w:rFonts w:ascii="Times New Roman" w:hAnsi="Times New Roman"/>
          <w:b w:val="0"/>
        </w:rPr>
        <w:t xml:space="preserve">routing and </w:t>
      </w:r>
      <w:r>
        <w:rPr>
          <w:rFonts w:ascii="Times New Roman" w:hAnsi="Times New Roman"/>
          <w:b w:val="0"/>
        </w:rPr>
        <w:t xml:space="preserve">channel mapping is configured </w:t>
      </w:r>
      <w:r w:rsidR="00CD09AC">
        <w:rPr>
          <w:rFonts w:ascii="Times New Roman" w:hAnsi="Times New Roman"/>
          <w:b w:val="0"/>
        </w:rPr>
        <w:t xml:space="preserve">for </w:t>
      </w:r>
      <w:r>
        <w:rPr>
          <w:rFonts w:ascii="Times New Roman" w:hAnsi="Times New Roman"/>
          <w:b w:val="0"/>
        </w:rPr>
        <w:t>path</w:t>
      </w:r>
      <w:r w:rsidR="00F23CEE">
        <w:rPr>
          <w:rFonts w:ascii="Times New Roman" w:hAnsi="Times New Roman"/>
          <w:b w:val="0"/>
        </w:rPr>
        <w:t>s between an IAB node’s cell group configured by one donor and the CU-UP of another donor</w:t>
      </w:r>
      <w:r w:rsidR="00CD09AC">
        <w:rPr>
          <w:rFonts w:ascii="Times New Roman" w:hAnsi="Times New Roman"/>
          <w:b w:val="0"/>
        </w:rPr>
        <w:t xml:space="preserve">. Normally the routing and mapping are configured by the IAB-donor to which the IAB-nodes are connected to but here the involvement </w:t>
      </w:r>
      <w:r w:rsidR="00F23CEE">
        <w:rPr>
          <w:rFonts w:ascii="Times New Roman" w:hAnsi="Times New Roman"/>
          <w:b w:val="0"/>
        </w:rPr>
        <w:t xml:space="preserve">of both donors </w:t>
      </w:r>
      <w:r w:rsidR="00CD09AC">
        <w:rPr>
          <w:rFonts w:ascii="Times New Roman" w:hAnsi="Times New Roman"/>
          <w:b w:val="0"/>
        </w:rPr>
        <w:t xml:space="preserve">would be needed. </w:t>
      </w:r>
      <w:proofErr w:type="spellStart"/>
      <w:r w:rsidR="00CD09AC">
        <w:rPr>
          <w:rFonts w:ascii="Times New Roman" w:hAnsi="Times New Roman"/>
          <w:b w:val="0"/>
        </w:rPr>
        <w:t>Xn</w:t>
      </w:r>
      <w:proofErr w:type="spellEnd"/>
      <w:r w:rsidR="00CD09AC">
        <w:rPr>
          <w:rFonts w:ascii="Times New Roman" w:hAnsi="Times New Roman"/>
          <w:b w:val="0"/>
        </w:rPr>
        <w:t xml:space="preserve"> signalling may be extended to exchange relevant information between involved IAB-donors.</w:t>
      </w:r>
    </w:p>
    <w:p w14:paraId="6D35D7AB" w14:textId="4FF091E8" w:rsidR="00CD09AC" w:rsidRPr="00CD09AC" w:rsidRDefault="00CD09AC" w:rsidP="006C1D56">
      <w:pPr>
        <w:pStyle w:val="TF"/>
        <w:jc w:val="left"/>
        <w:rPr>
          <w:rFonts w:ascii="Times New Roman" w:hAnsi="Times New Roman"/>
          <w:bCs/>
        </w:rPr>
      </w:pPr>
      <w:r w:rsidRPr="00CD09AC">
        <w:rPr>
          <w:rFonts w:ascii="Times New Roman" w:hAnsi="Times New Roman"/>
          <w:bCs/>
        </w:rPr>
        <w:t>Observation</w:t>
      </w:r>
      <w:r w:rsidR="00517DC4">
        <w:rPr>
          <w:rFonts w:ascii="Times New Roman" w:hAnsi="Times New Roman"/>
          <w:bCs/>
        </w:rPr>
        <w:t xml:space="preserve"> 8</w:t>
      </w:r>
      <w:r w:rsidRPr="00CD09AC">
        <w:rPr>
          <w:rFonts w:ascii="Times New Roman" w:hAnsi="Times New Roman"/>
          <w:bCs/>
        </w:rPr>
        <w:t xml:space="preserve">: In the inter-donor DC, the configuration of the </w:t>
      </w:r>
      <w:r w:rsidR="001A7F92">
        <w:rPr>
          <w:rFonts w:ascii="Times New Roman" w:hAnsi="Times New Roman"/>
          <w:bCs/>
        </w:rPr>
        <w:t xml:space="preserve">MCG and </w:t>
      </w:r>
      <w:r w:rsidRPr="00CD09AC">
        <w:rPr>
          <w:rFonts w:ascii="Times New Roman" w:hAnsi="Times New Roman"/>
          <w:bCs/>
        </w:rPr>
        <w:t>SCG path</w:t>
      </w:r>
      <w:r w:rsidR="001A7F92">
        <w:rPr>
          <w:rFonts w:ascii="Times New Roman" w:hAnsi="Times New Roman"/>
          <w:bCs/>
        </w:rPr>
        <w:t>s</w:t>
      </w:r>
      <w:r>
        <w:rPr>
          <w:rFonts w:ascii="Times New Roman" w:hAnsi="Times New Roman"/>
          <w:bCs/>
        </w:rPr>
        <w:t>, including routing and bearer mapping,</w:t>
      </w:r>
      <w:r w:rsidRPr="00CD09AC">
        <w:rPr>
          <w:rFonts w:ascii="Times New Roman" w:hAnsi="Times New Roman"/>
          <w:bCs/>
        </w:rPr>
        <w:t xml:space="preserve"> needs enhanced operation.</w:t>
      </w:r>
    </w:p>
    <w:p w14:paraId="5FF2457F" w14:textId="11A84A2C" w:rsidR="00A209D6" w:rsidRPr="006E13D1" w:rsidRDefault="00A209D6" w:rsidP="00A209D6">
      <w:pPr>
        <w:pStyle w:val="Heading1"/>
      </w:pPr>
      <w:r w:rsidRPr="006E13D1">
        <w:t>4</w:t>
      </w:r>
      <w:r w:rsidRPr="006E13D1">
        <w:tab/>
      </w:r>
      <w:r w:rsidR="008C3057">
        <w:t>Conclusion</w:t>
      </w:r>
    </w:p>
    <w:p w14:paraId="425A60F4" w14:textId="77777777" w:rsidR="0086531A" w:rsidRPr="0019128F" w:rsidRDefault="0086531A" w:rsidP="0086531A">
      <w:pPr>
        <w:rPr>
          <w:b/>
          <w:bCs/>
        </w:rPr>
      </w:pPr>
      <w:r w:rsidRPr="0019128F">
        <w:rPr>
          <w:b/>
          <w:bCs/>
        </w:rPr>
        <w:t>Observation</w:t>
      </w:r>
      <w:r>
        <w:rPr>
          <w:b/>
          <w:bCs/>
        </w:rPr>
        <w:t xml:space="preserve"> 1</w:t>
      </w:r>
      <w:r w:rsidRPr="0019128F">
        <w:rPr>
          <w:b/>
          <w:bCs/>
        </w:rPr>
        <w:t>: UEs served by the migrating IAB-node experience connection break due to delay in detecting RLF in the source cell and delay detecting the new cell.</w:t>
      </w:r>
    </w:p>
    <w:p w14:paraId="20464EE7" w14:textId="77777777" w:rsidR="0086531A" w:rsidRPr="00EE0992" w:rsidRDefault="0086531A" w:rsidP="0086531A">
      <w:pPr>
        <w:rPr>
          <w:b/>
          <w:bCs/>
        </w:rPr>
      </w:pPr>
      <w:r w:rsidRPr="00EE0992">
        <w:rPr>
          <w:b/>
          <w:bCs/>
        </w:rPr>
        <w:t>Observation</w:t>
      </w:r>
      <w:r>
        <w:rPr>
          <w:b/>
          <w:bCs/>
        </w:rPr>
        <w:t xml:space="preserve"> 2</w:t>
      </w:r>
      <w:r w:rsidRPr="00EE0992">
        <w:rPr>
          <w:b/>
          <w:bCs/>
        </w:rPr>
        <w:t xml:space="preserve">: To have network control over the UE behaviour during the IAB-node migration, RLF/re-selection could be replaced with HO signalling to direct the </w:t>
      </w:r>
      <w:r>
        <w:rPr>
          <w:b/>
          <w:bCs/>
        </w:rPr>
        <w:t>UE</w:t>
      </w:r>
      <w:r w:rsidRPr="00EE0992">
        <w:rPr>
          <w:b/>
          <w:bCs/>
        </w:rPr>
        <w:t xml:space="preserve"> to the cell served by the same IAB-node after the migration.</w:t>
      </w:r>
    </w:p>
    <w:p w14:paraId="444DBABA" w14:textId="77777777" w:rsidR="0086531A" w:rsidRPr="005E27D2" w:rsidRDefault="0086531A" w:rsidP="0086531A">
      <w:pPr>
        <w:rPr>
          <w:b/>
          <w:bCs/>
        </w:rPr>
      </w:pPr>
      <w:r w:rsidRPr="005E27D2">
        <w:rPr>
          <w:b/>
          <w:bCs/>
        </w:rPr>
        <w:t>Observation</w:t>
      </w:r>
      <w:r>
        <w:rPr>
          <w:b/>
          <w:bCs/>
        </w:rPr>
        <w:t xml:space="preserve"> 3</w:t>
      </w:r>
      <w:r w:rsidRPr="005E27D2">
        <w:rPr>
          <w:b/>
          <w:bCs/>
        </w:rPr>
        <w:t xml:space="preserve">: Advance configuration of the target path as well as </w:t>
      </w:r>
      <w:r>
        <w:rPr>
          <w:b/>
          <w:bCs/>
        </w:rPr>
        <w:t>enhanced</w:t>
      </w:r>
      <w:r w:rsidRPr="005E27D2">
        <w:rPr>
          <w:b/>
          <w:bCs/>
        </w:rPr>
        <w:t xml:space="preserve"> HO preparation </w:t>
      </w:r>
      <w:r>
        <w:rPr>
          <w:b/>
          <w:bCs/>
        </w:rPr>
        <w:t xml:space="preserve">procedure </w:t>
      </w:r>
      <w:r w:rsidRPr="005E27D2">
        <w:rPr>
          <w:b/>
          <w:bCs/>
        </w:rPr>
        <w:t xml:space="preserve">over the </w:t>
      </w:r>
      <w:proofErr w:type="spellStart"/>
      <w:r w:rsidRPr="005E27D2">
        <w:rPr>
          <w:b/>
          <w:bCs/>
        </w:rPr>
        <w:t>Xn</w:t>
      </w:r>
      <w:proofErr w:type="spellEnd"/>
      <w:r w:rsidRPr="005E27D2">
        <w:rPr>
          <w:b/>
          <w:bCs/>
        </w:rPr>
        <w:t xml:space="preserve"> would help in shortening the connection break during the IAB-node migration and result</w:t>
      </w:r>
      <w:r>
        <w:rPr>
          <w:b/>
          <w:bCs/>
        </w:rPr>
        <w:t>ing</w:t>
      </w:r>
      <w:r w:rsidRPr="005E27D2">
        <w:rPr>
          <w:b/>
          <w:bCs/>
        </w:rPr>
        <w:t xml:space="preserve"> UE HO.</w:t>
      </w:r>
    </w:p>
    <w:p w14:paraId="75013DFF" w14:textId="77777777" w:rsidR="0086531A" w:rsidRPr="008E7F5D" w:rsidRDefault="0086531A" w:rsidP="0086531A">
      <w:pPr>
        <w:rPr>
          <w:b/>
          <w:bCs/>
        </w:rPr>
      </w:pPr>
      <w:r w:rsidRPr="008E7F5D">
        <w:rPr>
          <w:b/>
          <w:bCs/>
        </w:rPr>
        <w:t>Observation</w:t>
      </w:r>
      <w:r>
        <w:rPr>
          <w:b/>
          <w:bCs/>
        </w:rPr>
        <w:t xml:space="preserve"> 4</w:t>
      </w:r>
      <w:r w:rsidRPr="008E7F5D">
        <w:rPr>
          <w:b/>
          <w:bCs/>
        </w:rPr>
        <w:t xml:space="preserve">: </w:t>
      </w:r>
      <w:proofErr w:type="gramStart"/>
      <w:r w:rsidRPr="00370251">
        <w:rPr>
          <w:b/>
          <w:bCs/>
        </w:rPr>
        <w:t>Similarly</w:t>
      </w:r>
      <w:proofErr w:type="gramEnd"/>
      <w:r w:rsidRPr="00370251">
        <w:rPr>
          <w:b/>
          <w:bCs/>
        </w:rPr>
        <w:t xml:space="preserve"> to certain bearer-type</w:t>
      </w:r>
      <w:r>
        <w:rPr>
          <w:b/>
          <w:bCs/>
        </w:rPr>
        <w:t>-</w:t>
      </w:r>
      <w:r w:rsidRPr="00370251">
        <w:rPr>
          <w:b/>
          <w:bCs/>
        </w:rPr>
        <w:t>change cases in MR-DC,</w:t>
      </w:r>
      <w:r>
        <w:rPr>
          <w:b/>
          <w:bCs/>
        </w:rPr>
        <w:t xml:space="preserve"> </w:t>
      </w:r>
      <w:r w:rsidRPr="008E7F5D">
        <w:rPr>
          <w:b/>
          <w:bCs/>
        </w:rPr>
        <w:t xml:space="preserve">UE MAC reset and RLC establishment </w:t>
      </w:r>
      <w:r>
        <w:rPr>
          <w:b/>
          <w:bCs/>
        </w:rPr>
        <w:t xml:space="preserve">during </w:t>
      </w:r>
      <w:r w:rsidRPr="008E7F5D">
        <w:rPr>
          <w:b/>
          <w:bCs/>
        </w:rPr>
        <w:t>the HO procedure to the same IAB node seems excessive overhead without benefit in the IAB migration scenario.</w:t>
      </w:r>
    </w:p>
    <w:p w14:paraId="4BB443F7" w14:textId="77777777" w:rsidR="0086531A" w:rsidRPr="0018496D" w:rsidRDefault="0086531A" w:rsidP="0086531A">
      <w:pPr>
        <w:rPr>
          <w:b/>
          <w:bCs/>
        </w:rPr>
      </w:pPr>
      <w:r w:rsidRPr="0018496D">
        <w:rPr>
          <w:b/>
          <w:bCs/>
        </w:rPr>
        <w:t>Observation</w:t>
      </w:r>
      <w:r>
        <w:rPr>
          <w:b/>
          <w:bCs/>
        </w:rPr>
        <w:t xml:space="preserve"> 5</w:t>
      </w:r>
      <w:r w:rsidRPr="0018496D">
        <w:rPr>
          <w:b/>
          <w:bCs/>
        </w:rPr>
        <w:t>: Enhance</w:t>
      </w:r>
      <w:r>
        <w:rPr>
          <w:b/>
          <w:bCs/>
        </w:rPr>
        <w:t>d</w:t>
      </w:r>
      <w:r w:rsidRPr="0018496D">
        <w:rPr>
          <w:b/>
          <w:bCs/>
        </w:rPr>
        <w:t xml:space="preserve"> inter-CU signalling during the IAB-migration would facilitate the advance configuration of the target path.</w:t>
      </w:r>
    </w:p>
    <w:p w14:paraId="5DA03CF6" w14:textId="77777777" w:rsidR="0086531A" w:rsidRPr="00C10498" w:rsidRDefault="0086531A" w:rsidP="0086531A">
      <w:pPr>
        <w:pStyle w:val="TF"/>
        <w:jc w:val="left"/>
        <w:rPr>
          <w:rFonts w:ascii="Times New Roman" w:hAnsi="Times New Roman"/>
          <w:bCs/>
        </w:rPr>
      </w:pPr>
      <w:r w:rsidRPr="00C10498">
        <w:rPr>
          <w:rFonts w:ascii="Times New Roman" w:hAnsi="Times New Roman"/>
          <w:bCs/>
        </w:rPr>
        <w:t>Observation</w:t>
      </w:r>
      <w:r>
        <w:rPr>
          <w:rFonts w:ascii="Times New Roman" w:hAnsi="Times New Roman"/>
          <w:bCs/>
        </w:rPr>
        <w:t xml:space="preserve"> 6</w:t>
      </w:r>
      <w:r w:rsidRPr="00C10498">
        <w:rPr>
          <w:rFonts w:ascii="Times New Roman" w:hAnsi="Times New Roman"/>
          <w:bCs/>
        </w:rPr>
        <w:t>: PCI management can utilize existing mechanisms to avoid PCI collisions/confusion. Principles for PCI allocations can be revisited in future releases when mobile IAB is specified.</w:t>
      </w:r>
    </w:p>
    <w:p w14:paraId="674F8839" w14:textId="77777777" w:rsidR="0086531A" w:rsidRPr="007C2C10" w:rsidRDefault="0086531A" w:rsidP="0086531A">
      <w:pPr>
        <w:pStyle w:val="TF"/>
        <w:jc w:val="left"/>
        <w:rPr>
          <w:rFonts w:ascii="Times New Roman" w:hAnsi="Times New Roman"/>
          <w:bCs/>
        </w:rPr>
      </w:pPr>
      <w:r w:rsidRPr="007C2C10">
        <w:rPr>
          <w:rFonts w:ascii="Times New Roman" w:hAnsi="Times New Roman"/>
          <w:bCs/>
        </w:rPr>
        <w:t>Observation</w:t>
      </w:r>
      <w:r>
        <w:rPr>
          <w:rFonts w:ascii="Times New Roman" w:hAnsi="Times New Roman"/>
          <w:bCs/>
        </w:rPr>
        <w:t xml:space="preserve"> 7</w:t>
      </w:r>
      <w:r w:rsidRPr="007C2C10">
        <w:rPr>
          <w:rFonts w:ascii="Times New Roman" w:hAnsi="Times New Roman"/>
          <w:bCs/>
        </w:rPr>
        <w:t xml:space="preserve">: With independent BAP address </w:t>
      </w:r>
      <w:r>
        <w:rPr>
          <w:rFonts w:ascii="Times New Roman" w:hAnsi="Times New Roman"/>
          <w:bCs/>
        </w:rPr>
        <w:t xml:space="preserve">and routing ID </w:t>
      </w:r>
      <w:r w:rsidRPr="007C2C10">
        <w:rPr>
          <w:rFonts w:ascii="Times New Roman" w:hAnsi="Times New Roman"/>
          <w:bCs/>
        </w:rPr>
        <w:t>allocations by IAB-donor, there can be collisions in the addresse</w:t>
      </w:r>
      <w:r>
        <w:rPr>
          <w:rFonts w:ascii="Times New Roman" w:hAnsi="Times New Roman"/>
          <w:bCs/>
        </w:rPr>
        <w:t>s/IDs</w:t>
      </w:r>
      <w:r w:rsidRPr="007C2C10">
        <w:rPr>
          <w:rFonts w:ascii="Times New Roman" w:hAnsi="Times New Roman"/>
          <w:bCs/>
        </w:rPr>
        <w:t xml:space="preserve"> affecting the DC configuration.</w:t>
      </w:r>
    </w:p>
    <w:p w14:paraId="7129F142" w14:textId="77777777" w:rsidR="0086531A" w:rsidRPr="00CD09AC" w:rsidRDefault="0086531A" w:rsidP="0086531A">
      <w:pPr>
        <w:pStyle w:val="TF"/>
        <w:jc w:val="left"/>
        <w:rPr>
          <w:rFonts w:ascii="Times New Roman" w:hAnsi="Times New Roman"/>
          <w:bCs/>
        </w:rPr>
      </w:pPr>
      <w:r w:rsidRPr="00CD09AC">
        <w:rPr>
          <w:rFonts w:ascii="Times New Roman" w:hAnsi="Times New Roman"/>
          <w:bCs/>
        </w:rPr>
        <w:t>Observation</w:t>
      </w:r>
      <w:r>
        <w:rPr>
          <w:rFonts w:ascii="Times New Roman" w:hAnsi="Times New Roman"/>
          <w:bCs/>
        </w:rPr>
        <w:t xml:space="preserve"> 8</w:t>
      </w:r>
      <w:r w:rsidRPr="00CD09AC">
        <w:rPr>
          <w:rFonts w:ascii="Times New Roman" w:hAnsi="Times New Roman"/>
          <w:bCs/>
        </w:rPr>
        <w:t xml:space="preserve">: In the inter-donor DC, the configuration of the </w:t>
      </w:r>
      <w:r>
        <w:rPr>
          <w:rFonts w:ascii="Times New Roman" w:hAnsi="Times New Roman"/>
          <w:bCs/>
        </w:rPr>
        <w:t xml:space="preserve">MCG and </w:t>
      </w:r>
      <w:r w:rsidRPr="00CD09AC">
        <w:rPr>
          <w:rFonts w:ascii="Times New Roman" w:hAnsi="Times New Roman"/>
          <w:bCs/>
        </w:rPr>
        <w:t>SCG path</w:t>
      </w:r>
      <w:r>
        <w:rPr>
          <w:rFonts w:ascii="Times New Roman" w:hAnsi="Times New Roman"/>
          <w:bCs/>
        </w:rPr>
        <w:t>s, including routing and bearer mapping,</w:t>
      </w:r>
      <w:r w:rsidRPr="00CD09AC">
        <w:rPr>
          <w:rFonts w:ascii="Times New Roman" w:hAnsi="Times New Roman"/>
          <w:bCs/>
        </w:rPr>
        <w:t xml:space="preserve"> needs enhanced operation.</w:t>
      </w:r>
    </w:p>
    <w:p w14:paraId="5CD7324B" w14:textId="1DA6C61B" w:rsidR="00CD09AC" w:rsidRPr="001521B1" w:rsidRDefault="00CD09AC" w:rsidP="00A209D6">
      <w:pPr>
        <w:rPr>
          <w:b/>
          <w:bCs/>
        </w:rPr>
      </w:pPr>
      <w:r w:rsidRPr="001521B1">
        <w:rPr>
          <w:b/>
          <w:bCs/>
        </w:rPr>
        <w:t>Proposal: RAN</w:t>
      </w:r>
      <w:r w:rsidR="00B869EB">
        <w:rPr>
          <w:b/>
          <w:bCs/>
        </w:rPr>
        <w:t>2</w:t>
      </w:r>
      <w:r w:rsidRPr="001521B1">
        <w:rPr>
          <w:b/>
          <w:bCs/>
        </w:rPr>
        <w:t xml:space="preserve"> is asked to investigate the issues discussed in this paper and, as found needed/feasible, specify enhancements to </w:t>
      </w:r>
      <w:r w:rsidR="001521B1" w:rsidRPr="001521B1">
        <w:rPr>
          <w:b/>
          <w:bCs/>
        </w:rPr>
        <w:t>optimize the IAB operation and extend its capabilities to support inter-donor scenarios.</w:t>
      </w:r>
    </w:p>
    <w:p w14:paraId="7DF0BFA0" w14:textId="7EADF19A" w:rsidR="007B16C9" w:rsidRPr="006E13D1" w:rsidRDefault="007B16C9" w:rsidP="007B16C9">
      <w:pPr>
        <w:pStyle w:val="Heading1"/>
      </w:pPr>
      <w:r>
        <w:t>References</w:t>
      </w:r>
    </w:p>
    <w:p w14:paraId="59005CB0" w14:textId="145DE3AE" w:rsidR="007B16C9" w:rsidRDefault="007B16C9" w:rsidP="00A209D6">
      <w:r>
        <w:t xml:space="preserve">[1] </w:t>
      </w:r>
      <w:hyperlink r:id="rId15" w:history="1">
        <w:r w:rsidRPr="007B16C9">
          <w:rPr>
            <w:rStyle w:val="Hyperlink"/>
          </w:rPr>
          <w:t>RP-193251</w:t>
        </w:r>
      </w:hyperlink>
      <w:r>
        <w:t xml:space="preserve">, </w:t>
      </w:r>
      <w:r w:rsidRPr="007B16C9">
        <w:rPr>
          <w:i/>
          <w:iCs/>
        </w:rPr>
        <w:t>New WID on Enhancements to Integrated Access and Backhaul</w:t>
      </w:r>
      <w:r>
        <w:t xml:space="preserve"> </w:t>
      </w:r>
    </w:p>
    <w:p w14:paraId="70F45955" w14:textId="1705455A" w:rsidR="007B16C9" w:rsidRDefault="007A4758" w:rsidP="00A209D6">
      <w:r>
        <w:t xml:space="preserve">[2] </w:t>
      </w:r>
      <w:hyperlink r:id="rId16" w:history="1">
        <w:r w:rsidRPr="007A4758">
          <w:rPr>
            <w:rStyle w:val="Hyperlink"/>
          </w:rPr>
          <w:t>TR 38.874</w:t>
        </w:r>
      </w:hyperlink>
      <w:r>
        <w:t xml:space="preserve">, </w:t>
      </w:r>
      <w:r w:rsidRPr="007A4758">
        <w:rPr>
          <w:i/>
          <w:iCs/>
        </w:rPr>
        <w:t>Study on Integrated Access and Backhaul</w:t>
      </w:r>
    </w:p>
    <w:p w14:paraId="2EC94F7A" w14:textId="77777777" w:rsidR="007A4758" w:rsidRPr="007B16C9" w:rsidRDefault="007A4758"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A66421" w14:textId="77777777" w:rsidR="00E31AB2" w:rsidRDefault="00E31AB2">
      <w:r>
        <w:separator/>
      </w:r>
    </w:p>
  </w:endnote>
  <w:endnote w:type="continuationSeparator" w:id="0">
    <w:p w14:paraId="6D4C0D87" w14:textId="77777777" w:rsidR="00E31AB2" w:rsidRDefault="00E31AB2">
      <w:r>
        <w:continuationSeparator/>
      </w:r>
    </w:p>
  </w:endnote>
  <w:endnote w:type="continuationNotice" w:id="1">
    <w:p w14:paraId="0D98EDE1" w14:textId="77777777" w:rsidR="00E31AB2" w:rsidRDefault="00E31A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CE2A98" w:rsidRDefault="00CE2A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CE2A98" w:rsidRDefault="00CE2A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CE2A98" w:rsidRDefault="00CE2A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EB4B4" w14:textId="77777777" w:rsidR="00E31AB2" w:rsidRDefault="00E31AB2">
      <w:r>
        <w:separator/>
      </w:r>
    </w:p>
  </w:footnote>
  <w:footnote w:type="continuationSeparator" w:id="0">
    <w:p w14:paraId="4771A956" w14:textId="77777777" w:rsidR="00E31AB2" w:rsidRDefault="00E31AB2">
      <w:r>
        <w:continuationSeparator/>
      </w:r>
    </w:p>
  </w:footnote>
  <w:footnote w:type="continuationNotice" w:id="1">
    <w:p w14:paraId="5D0D41B9" w14:textId="77777777" w:rsidR="00E31AB2" w:rsidRDefault="00E31A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CE2A98" w:rsidRDefault="00CE2A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CE2A98" w:rsidRDefault="00CE2A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CE2A98" w:rsidRDefault="00CE2A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3673F"/>
    <w:rsid w:val="00040095"/>
    <w:rsid w:val="00073C9C"/>
    <w:rsid w:val="00080512"/>
    <w:rsid w:val="00090468"/>
    <w:rsid w:val="000915D4"/>
    <w:rsid w:val="00094568"/>
    <w:rsid w:val="000B7BCF"/>
    <w:rsid w:val="000C07E5"/>
    <w:rsid w:val="000C522B"/>
    <w:rsid w:val="000D579F"/>
    <w:rsid w:val="000D58AB"/>
    <w:rsid w:val="00112F1A"/>
    <w:rsid w:val="00145075"/>
    <w:rsid w:val="001521B1"/>
    <w:rsid w:val="001741A0"/>
    <w:rsid w:val="00175FA0"/>
    <w:rsid w:val="00183D30"/>
    <w:rsid w:val="0018496D"/>
    <w:rsid w:val="0019128F"/>
    <w:rsid w:val="00194CD0"/>
    <w:rsid w:val="001A7F92"/>
    <w:rsid w:val="001B49C9"/>
    <w:rsid w:val="001C23F4"/>
    <w:rsid w:val="001C4F79"/>
    <w:rsid w:val="001D2DA1"/>
    <w:rsid w:val="001F168B"/>
    <w:rsid w:val="001F7831"/>
    <w:rsid w:val="00204045"/>
    <w:rsid w:val="0020712B"/>
    <w:rsid w:val="0022606D"/>
    <w:rsid w:val="00231728"/>
    <w:rsid w:val="002467D6"/>
    <w:rsid w:val="00250404"/>
    <w:rsid w:val="002610D8"/>
    <w:rsid w:val="002747EC"/>
    <w:rsid w:val="00277C6A"/>
    <w:rsid w:val="002850F9"/>
    <w:rsid w:val="002855BF"/>
    <w:rsid w:val="002A7F5F"/>
    <w:rsid w:val="002F0D22"/>
    <w:rsid w:val="00311B17"/>
    <w:rsid w:val="003172DC"/>
    <w:rsid w:val="00325AE3"/>
    <w:rsid w:val="00326069"/>
    <w:rsid w:val="003268B5"/>
    <w:rsid w:val="003307A6"/>
    <w:rsid w:val="0035462D"/>
    <w:rsid w:val="003626A9"/>
    <w:rsid w:val="0036459E"/>
    <w:rsid w:val="00364B41"/>
    <w:rsid w:val="00370251"/>
    <w:rsid w:val="00381113"/>
    <w:rsid w:val="00383096"/>
    <w:rsid w:val="0039346C"/>
    <w:rsid w:val="003A41EF"/>
    <w:rsid w:val="003B40AD"/>
    <w:rsid w:val="003C4E37"/>
    <w:rsid w:val="003E16BE"/>
    <w:rsid w:val="003F4E28"/>
    <w:rsid w:val="004006E8"/>
    <w:rsid w:val="00401855"/>
    <w:rsid w:val="0044392D"/>
    <w:rsid w:val="00465587"/>
    <w:rsid w:val="00477455"/>
    <w:rsid w:val="004A1F7B"/>
    <w:rsid w:val="004A61E9"/>
    <w:rsid w:val="004C44D2"/>
    <w:rsid w:val="004D3578"/>
    <w:rsid w:val="004D380D"/>
    <w:rsid w:val="004E213A"/>
    <w:rsid w:val="004F05F3"/>
    <w:rsid w:val="00503171"/>
    <w:rsid w:val="00506C28"/>
    <w:rsid w:val="00517DC4"/>
    <w:rsid w:val="00520649"/>
    <w:rsid w:val="00534DA0"/>
    <w:rsid w:val="00543E6C"/>
    <w:rsid w:val="00552D24"/>
    <w:rsid w:val="005610D9"/>
    <w:rsid w:val="00564D8C"/>
    <w:rsid w:val="00565087"/>
    <w:rsid w:val="0056573F"/>
    <w:rsid w:val="005A49C6"/>
    <w:rsid w:val="005B6CF4"/>
    <w:rsid w:val="005E27D2"/>
    <w:rsid w:val="00602A5C"/>
    <w:rsid w:val="00611566"/>
    <w:rsid w:val="00646D99"/>
    <w:rsid w:val="00656910"/>
    <w:rsid w:val="006574C0"/>
    <w:rsid w:val="00686AFF"/>
    <w:rsid w:val="006C1D56"/>
    <w:rsid w:val="006C66D8"/>
    <w:rsid w:val="006D1E24"/>
    <w:rsid w:val="006D47B2"/>
    <w:rsid w:val="006E1417"/>
    <w:rsid w:val="006F6A2C"/>
    <w:rsid w:val="007069DC"/>
    <w:rsid w:val="00710201"/>
    <w:rsid w:val="00716EFE"/>
    <w:rsid w:val="0072073A"/>
    <w:rsid w:val="007342B5"/>
    <w:rsid w:val="00734A5B"/>
    <w:rsid w:val="00744E76"/>
    <w:rsid w:val="00757D40"/>
    <w:rsid w:val="007662B5"/>
    <w:rsid w:val="00781F0F"/>
    <w:rsid w:val="0078727C"/>
    <w:rsid w:val="0079049D"/>
    <w:rsid w:val="00793DC5"/>
    <w:rsid w:val="007A19D9"/>
    <w:rsid w:val="007A4758"/>
    <w:rsid w:val="007A552F"/>
    <w:rsid w:val="007B16C9"/>
    <w:rsid w:val="007B18D8"/>
    <w:rsid w:val="007C095F"/>
    <w:rsid w:val="007C2C10"/>
    <w:rsid w:val="007C2DD0"/>
    <w:rsid w:val="007F2E08"/>
    <w:rsid w:val="008028A4"/>
    <w:rsid w:val="008054E1"/>
    <w:rsid w:val="00813245"/>
    <w:rsid w:val="00840DE0"/>
    <w:rsid w:val="0086354A"/>
    <w:rsid w:val="00863E62"/>
    <w:rsid w:val="0086531A"/>
    <w:rsid w:val="008768CA"/>
    <w:rsid w:val="00877EF9"/>
    <w:rsid w:val="00880559"/>
    <w:rsid w:val="008814A2"/>
    <w:rsid w:val="008902F0"/>
    <w:rsid w:val="008B3B56"/>
    <w:rsid w:val="008B5306"/>
    <w:rsid w:val="008C2E2A"/>
    <w:rsid w:val="008C3057"/>
    <w:rsid w:val="008D2E4D"/>
    <w:rsid w:val="008E7F5D"/>
    <w:rsid w:val="008F1FED"/>
    <w:rsid w:val="008F396F"/>
    <w:rsid w:val="008F3DCD"/>
    <w:rsid w:val="0090271F"/>
    <w:rsid w:val="00902DB9"/>
    <w:rsid w:val="0090466A"/>
    <w:rsid w:val="00923655"/>
    <w:rsid w:val="00936071"/>
    <w:rsid w:val="009373BA"/>
    <w:rsid w:val="009376CD"/>
    <w:rsid w:val="00940212"/>
    <w:rsid w:val="00942EC2"/>
    <w:rsid w:val="009474B5"/>
    <w:rsid w:val="00954E1A"/>
    <w:rsid w:val="00961B32"/>
    <w:rsid w:val="00962509"/>
    <w:rsid w:val="00970DB3"/>
    <w:rsid w:val="009721D6"/>
    <w:rsid w:val="00974BB0"/>
    <w:rsid w:val="00975BCD"/>
    <w:rsid w:val="009928A9"/>
    <w:rsid w:val="009A0AF3"/>
    <w:rsid w:val="009B07CD"/>
    <w:rsid w:val="009C19E9"/>
    <w:rsid w:val="009D74A6"/>
    <w:rsid w:val="009E0E87"/>
    <w:rsid w:val="00A00FBB"/>
    <w:rsid w:val="00A10F02"/>
    <w:rsid w:val="00A204CA"/>
    <w:rsid w:val="00A209D6"/>
    <w:rsid w:val="00A53724"/>
    <w:rsid w:val="00A54B2B"/>
    <w:rsid w:val="00A61F1F"/>
    <w:rsid w:val="00A821EF"/>
    <w:rsid w:val="00A82346"/>
    <w:rsid w:val="00A87410"/>
    <w:rsid w:val="00A90911"/>
    <w:rsid w:val="00A9671C"/>
    <w:rsid w:val="00AA1553"/>
    <w:rsid w:val="00AC03A6"/>
    <w:rsid w:val="00AF56FA"/>
    <w:rsid w:val="00B05380"/>
    <w:rsid w:val="00B05962"/>
    <w:rsid w:val="00B15449"/>
    <w:rsid w:val="00B16C2F"/>
    <w:rsid w:val="00B27303"/>
    <w:rsid w:val="00B47FD1"/>
    <w:rsid w:val="00B516BB"/>
    <w:rsid w:val="00B84DB2"/>
    <w:rsid w:val="00B869EB"/>
    <w:rsid w:val="00BA5748"/>
    <w:rsid w:val="00BC3555"/>
    <w:rsid w:val="00BF68E9"/>
    <w:rsid w:val="00C10498"/>
    <w:rsid w:val="00C12B51"/>
    <w:rsid w:val="00C24650"/>
    <w:rsid w:val="00C25465"/>
    <w:rsid w:val="00C33079"/>
    <w:rsid w:val="00C47566"/>
    <w:rsid w:val="00C83A13"/>
    <w:rsid w:val="00C9068C"/>
    <w:rsid w:val="00C92967"/>
    <w:rsid w:val="00CA3D0C"/>
    <w:rsid w:val="00CA654B"/>
    <w:rsid w:val="00CB72B8"/>
    <w:rsid w:val="00CD09AC"/>
    <w:rsid w:val="00CD4C7B"/>
    <w:rsid w:val="00CD58FE"/>
    <w:rsid w:val="00CE2A98"/>
    <w:rsid w:val="00D33BE3"/>
    <w:rsid w:val="00D3792D"/>
    <w:rsid w:val="00D55E47"/>
    <w:rsid w:val="00D575DD"/>
    <w:rsid w:val="00D62E19"/>
    <w:rsid w:val="00D67CD1"/>
    <w:rsid w:val="00D738D6"/>
    <w:rsid w:val="00D80795"/>
    <w:rsid w:val="00D854BE"/>
    <w:rsid w:val="00D87E00"/>
    <w:rsid w:val="00D9134D"/>
    <w:rsid w:val="00D96152"/>
    <w:rsid w:val="00D96D11"/>
    <w:rsid w:val="00DA7A03"/>
    <w:rsid w:val="00DB0DB8"/>
    <w:rsid w:val="00DB1818"/>
    <w:rsid w:val="00DC309B"/>
    <w:rsid w:val="00DC4DA2"/>
    <w:rsid w:val="00DC5261"/>
    <w:rsid w:val="00DC608F"/>
    <w:rsid w:val="00DE25D2"/>
    <w:rsid w:val="00E128AA"/>
    <w:rsid w:val="00E31AB2"/>
    <w:rsid w:val="00E46C08"/>
    <w:rsid w:val="00E471CF"/>
    <w:rsid w:val="00E473D3"/>
    <w:rsid w:val="00E62835"/>
    <w:rsid w:val="00E77645"/>
    <w:rsid w:val="00E83697"/>
    <w:rsid w:val="00EA66C9"/>
    <w:rsid w:val="00EC4A25"/>
    <w:rsid w:val="00EE0992"/>
    <w:rsid w:val="00F025A2"/>
    <w:rsid w:val="00F036E9"/>
    <w:rsid w:val="00F07388"/>
    <w:rsid w:val="00F2026E"/>
    <w:rsid w:val="00F2095C"/>
    <w:rsid w:val="00F2210A"/>
    <w:rsid w:val="00F23CEE"/>
    <w:rsid w:val="00F24C5E"/>
    <w:rsid w:val="00F37743"/>
    <w:rsid w:val="00F46822"/>
    <w:rsid w:val="00F54A3D"/>
    <w:rsid w:val="00F54CB0"/>
    <w:rsid w:val="00F579CD"/>
    <w:rsid w:val="00F653B8"/>
    <w:rsid w:val="00F71B89"/>
    <w:rsid w:val="00F7353C"/>
    <w:rsid w:val="00F76F8F"/>
    <w:rsid w:val="00F911B7"/>
    <w:rsid w:val="00F941DF"/>
    <w:rsid w:val="00FA1266"/>
    <w:rsid w:val="00FB36FA"/>
    <w:rsid w:val="00FC00BB"/>
    <w:rsid w:val="00FC1192"/>
    <w:rsid w:val="00FE251B"/>
    <w:rsid w:val="4267D918"/>
    <w:rsid w:val="4A8593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DFE2420C-6612-412C-A9A3-1D8AD59B4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Caption">
    <w:name w:val="caption"/>
    <w:basedOn w:val="Normal"/>
    <w:next w:val="Normal"/>
    <w:unhideWhenUsed/>
    <w:qFormat/>
    <w:rsid w:val="007A4758"/>
    <w:pPr>
      <w:spacing w:after="200"/>
    </w:pPr>
    <w:rPr>
      <w:i/>
      <w:iCs/>
      <w:color w:val="44546A" w:themeColor="text2"/>
      <w:sz w:val="18"/>
      <w:szCs w:val="18"/>
    </w:rPr>
  </w:style>
  <w:style w:type="character" w:styleId="CommentReference">
    <w:name w:val="annotation reference"/>
    <w:basedOn w:val="DefaultParagraphFont"/>
    <w:rsid w:val="00BA5748"/>
    <w:rPr>
      <w:sz w:val="16"/>
      <w:szCs w:val="16"/>
    </w:rPr>
  </w:style>
  <w:style w:type="paragraph" w:styleId="CommentText">
    <w:name w:val="annotation text"/>
    <w:basedOn w:val="Normal"/>
    <w:link w:val="CommentTextChar"/>
    <w:rsid w:val="00BA5748"/>
  </w:style>
  <w:style w:type="character" w:customStyle="1" w:styleId="CommentTextChar">
    <w:name w:val="Comment Text Char"/>
    <w:basedOn w:val="DefaultParagraphFont"/>
    <w:link w:val="CommentText"/>
    <w:rsid w:val="00BA5748"/>
    <w:rPr>
      <w:lang w:eastAsia="en-US"/>
    </w:rPr>
  </w:style>
  <w:style w:type="paragraph" w:styleId="CommentSubject">
    <w:name w:val="annotation subject"/>
    <w:basedOn w:val="CommentText"/>
    <w:next w:val="CommentText"/>
    <w:link w:val="CommentSubjectChar"/>
    <w:rsid w:val="00BA5748"/>
    <w:rPr>
      <w:b/>
      <w:bCs/>
    </w:rPr>
  </w:style>
  <w:style w:type="character" w:customStyle="1" w:styleId="CommentSubjectChar">
    <w:name w:val="Comment Subject Char"/>
    <w:basedOn w:val="CommentTextChar"/>
    <w:link w:val="CommentSubject"/>
    <w:rsid w:val="00BA5748"/>
    <w:rPr>
      <w:b/>
      <w:bCs/>
      <w:lang w:eastAsia="en-US"/>
    </w:rPr>
  </w:style>
  <w:style w:type="paragraph" w:styleId="Revision">
    <w:name w:val="Revision"/>
    <w:hidden/>
    <w:uiPriority w:val="99"/>
    <w:semiHidden/>
    <w:rsid w:val="00BA57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383830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ortal.3gpp.org/desktopmodules/Specifications/SpecificationDetails.aspx?specificationId=323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TSG_RAN/TSGR_86/Docs/RP-193251.zip"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5AIRPNAIUNRU-859666464-7108</_dlc_DocId>
    <_dlc_DocIdUrl xmlns="71c5aaf6-e6ce-465b-b873-5148d2a4c105">
      <Url>https://nokia.sharepoint.com/sites/c5g/e2earch/_layouts/15/DocIdRedir.aspx?ID=5AIRPNAIUNRU-859666464-7108</Url>
      <Description>5AIRPNAIUNRU-859666464-7108</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94F01706-7122-4791-90F0-E2D6A2860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BE6E5A0-0E78-46C8-B209-3087045E1154}">
  <ds:schemaRefs>
    <ds:schemaRef ds:uri="http://schemas.microsoft.com/sharepoint/events"/>
  </ds:schemaRefs>
</ds:datastoreItem>
</file>

<file path=customXml/itemProps6.xml><?xml version="1.0" encoding="utf-8"?>
<ds:datastoreItem xmlns:ds="http://schemas.openxmlformats.org/officeDocument/2006/customXml" ds:itemID="{F868BAFF-3189-4075-86AF-12EA4ED04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1656</Words>
  <Characters>9285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10920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(Samuli)</cp:lastModifiedBy>
  <cp:revision>2</cp:revision>
  <dcterms:created xsi:type="dcterms:W3CDTF">2020-08-07T05:29:00Z</dcterms:created>
  <dcterms:modified xsi:type="dcterms:W3CDTF">2020-08-07T05:29:00Z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8a35adae-a3ba-4898-9a42-601303654d92</vt:lpwstr>
  </property>
</Properties>
</file>